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C6" w:rsidRDefault="003D2FC6" w:rsidP="000C0D91">
      <w:pPr>
        <w:spacing w:before="60" w:after="60"/>
        <w:rPr>
          <w:rFonts w:cs="Arial"/>
          <w:b/>
          <w:szCs w:val="22"/>
        </w:rPr>
      </w:pPr>
      <w:r>
        <w:rPr>
          <w:rFonts w:cs="Arial"/>
          <w:b/>
          <w:szCs w:val="22"/>
        </w:rPr>
        <w:t>Grupa zakupowa: M00130</w:t>
      </w:r>
    </w:p>
    <w:p w:rsidR="000C0D91" w:rsidRPr="001E3918" w:rsidRDefault="000C0D91" w:rsidP="000C0D91">
      <w:pPr>
        <w:spacing w:before="60" w:after="60"/>
        <w:rPr>
          <w:rFonts w:cs="Arial"/>
          <w:b/>
          <w:szCs w:val="22"/>
        </w:rPr>
      </w:pPr>
      <w:r w:rsidRPr="001E3918">
        <w:rPr>
          <w:rFonts w:cs="Arial"/>
          <w:b/>
          <w:szCs w:val="22"/>
        </w:rPr>
        <w:t>Załącznik nr 1.</w:t>
      </w:r>
      <w:r w:rsidR="008E4DBF">
        <w:rPr>
          <w:rFonts w:cs="Arial"/>
          <w:b/>
          <w:szCs w:val="22"/>
        </w:rPr>
        <w:t xml:space="preserve"> </w:t>
      </w:r>
      <w:r w:rsidRPr="001E3918">
        <w:rPr>
          <w:rFonts w:cs="Arial"/>
          <w:b/>
          <w:szCs w:val="22"/>
        </w:rPr>
        <w:t>Opis przedmiotu zamówienia</w:t>
      </w:r>
    </w:p>
    <w:p w:rsidR="000C0D91" w:rsidRPr="001E3918" w:rsidRDefault="000C0D91" w:rsidP="000C0D91">
      <w:pPr>
        <w:spacing w:before="60" w:after="60"/>
        <w:rPr>
          <w:rFonts w:cs="Arial"/>
          <w:szCs w:val="22"/>
        </w:rPr>
      </w:pPr>
    </w:p>
    <w:p w:rsidR="000C0D91" w:rsidRPr="001E3918" w:rsidRDefault="000C0D91" w:rsidP="000C0D91">
      <w:pPr>
        <w:spacing w:before="60" w:after="60"/>
        <w:jc w:val="center"/>
        <w:rPr>
          <w:rFonts w:cs="Arial"/>
          <w:b/>
          <w:szCs w:val="22"/>
        </w:rPr>
      </w:pPr>
      <w:r w:rsidRPr="001E3918">
        <w:rPr>
          <w:rFonts w:cs="Arial"/>
          <w:b/>
          <w:szCs w:val="22"/>
        </w:rPr>
        <w:t xml:space="preserve">Dostawa wodorowęglanu sodu do suchego oczyszczania spalin </w:t>
      </w:r>
    </w:p>
    <w:p w:rsidR="000C0D91" w:rsidRPr="001E3918" w:rsidRDefault="000C0D91" w:rsidP="000C0D91">
      <w:pPr>
        <w:spacing w:before="60" w:after="60"/>
        <w:jc w:val="center"/>
        <w:rPr>
          <w:rFonts w:cs="Arial"/>
          <w:b/>
          <w:szCs w:val="22"/>
        </w:rPr>
      </w:pPr>
      <w:r w:rsidRPr="001E3918">
        <w:rPr>
          <w:rFonts w:cs="Arial"/>
          <w:b/>
          <w:szCs w:val="22"/>
        </w:rPr>
        <w:t>w Stacji Termicznej</w:t>
      </w:r>
      <w:r w:rsidR="008E4DBF">
        <w:rPr>
          <w:rFonts w:cs="Arial"/>
          <w:b/>
          <w:szCs w:val="22"/>
        </w:rPr>
        <w:t xml:space="preserve"> Utylizacji Osadów Ściekowych </w:t>
      </w:r>
    </w:p>
    <w:p w:rsidR="000C0D91" w:rsidRPr="00D56493" w:rsidRDefault="000C0D91" w:rsidP="000C0D91">
      <w:pPr>
        <w:spacing w:before="180" w:after="180"/>
        <w:ind w:left="567" w:hanging="567"/>
        <w:jc w:val="both"/>
        <w:rPr>
          <w:rFonts w:cs="Arial"/>
          <w:b/>
          <w:szCs w:val="22"/>
        </w:rPr>
      </w:pPr>
      <w:r w:rsidRPr="00D56493">
        <w:rPr>
          <w:rFonts w:cs="Arial"/>
          <w:b/>
          <w:szCs w:val="22"/>
        </w:rPr>
        <w:t>1.</w:t>
      </w:r>
      <w:r w:rsidRPr="00D56493">
        <w:rPr>
          <w:rFonts w:cs="Arial"/>
          <w:b/>
          <w:szCs w:val="22"/>
        </w:rPr>
        <w:tab/>
        <w:t xml:space="preserve">Opis przedmiotu zamówienia </w:t>
      </w:r>
    </w:p>
    <w:p w:rsidR="000C0D91" w:rsidRPr="00D56493" w:rsidRDefault="000C0D91" w:rsidP="000C0D91">
      <w:pPr>
        <w:ind w:left="567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Przedmiotem zamówienia jest dostawa wodorowęglanu sodu do suchego oczyszczania spalin głównie z zanieczyszczeń kwaśnych (SO</w:t>
      </w:r>
      <w:r w:rsidRPr="00D56493">
        <w:rPr>
          <w:rFonts w:cs="Arial"/>
          <w:szCs w:val="22"/>
          <w:vertAlign w:val="subscript"/>
        </w:rPr>
        <w:t>2</w:t>
      </w:r>
      <w:r w:rsidRPr="00D56493">
        <w:rPr>
          <w:rFonts w:cs="Arial"/>
          <w:szCs w:val="22"/>
        </w:rPr>
        <w:t xml:space="preserve">, HCl i HF) </w:t>
      </w:r>
      <w:r>
        <w:rPr>
          <w:rFonts w:cs="Arial"/>
          <w:szCs w:val="22"/>
        </w:rPr>
        <w:br/>
      </w:r>
      <w:r w:rsidRPr="00D56493">
        <w:rPr>
          <w:rFonts w:cs="Arial"/>
          <w:szCs w:val="22"/>
        </w:rPr>
        <w:t xml:space="preserve">w maksymalnej ilości </w:t>
      </w:r>
      <w:r w:rsidR="003D2FC6">
        <w:rPr>
          <w:rFonts w:cs="Arial"/>
          <w:szCs w:val="22"/>
        </w:rPr>
        <w:t>2</w:t>
      </w:r>
      <w:r w:rsidR="00A1615A">
        <w:rPr>
          <w:rFonts w:cs="Arial"/>
          <w:szCs w:val="22"/>
        </w:rPr>
        <w:t xml:space="preserve"> </w:t>
      </w:r>
      <w:r w:rsidR="003D2FC6">
        <w:rPr>
          <w:rFonts w:cs="Arial"/>
          <w:szCs w:val="22"/>
        </w:rPr>
        <w:t>75</w:t>
      </w:r>
      <w:r w:rsidR="00A1615A">
        <w:rPr>
          <w:rFonts w:cs="Arial"/>
          <w:szCs w:val="22"/>
        </w:rPr>
        <w:t>0</w:t>
      </w:r>
      <w:r w:rsidRPr="00D56493">
        <w:rPr>
          <w:rFonts w:cs="Arial"/>
          <w:szCs w:val="22"/>
        </w:rPr>
        <w:t xml:space="preserve"> Mg.</w:t>
      </w:r>
    </w:p>
    <w:p w:rsidR="000C0D91" w:rsidRPr="00D56493" w:rsidRDefault="000C0D91" w:rsidP="000C0D91">
      <w:pPr>
        <w:ind w:firstLine="567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Nazwa chemiczna:</w:t>
      </w:r>
      <w:r w:rsidRPr="00D56493">
        <w:rPr>
          <w:rFonts w:cs="Arial"/>
          <w:szCs w:val="22"/>
        </w:rPr>
        <w:tab/>
      </w:r>
      <w:r w:rsidRPr="00D56493">
        <w:rPr>
          <w:rFonts w:cs="Arial"/>
          <w:b/>
          <w:szCs w:val="22"/>
        </w:rPr>
        <w:t>wodorowęglan sodu</w:t>
      </w:r>
    </w:p>
    <w:p w:rsidR="000C0D91" w:rsidRPr="00D56493" w:rsidRDefault="000C0D91" w:rsidP="000C0D91">
      <w:pPr>
        <w:ind w:firstLine="567"/>
        <w:jc w:val="both"/>
        <w:rPr>
          <w:rFonts w:cs="Arial"/>
          <w:szCs w:val="22"/>
          <w:vertAlign w:val="subscript"/>
        </w:rPr>
      </w:pPr>
      <w:r w:rsidRPr="00D56493">
        <w:rPr>
          <w:rFonts w:cs="Arial"/>
          <w:szCs w:val="22"/>
        </w:rPr>
        <w:t>Wzór chemiczny:</w:t>
      </w:r>
      <w:r w:rsidRPr="00D56493">
        <w:rPr>
          <w:rFonts w:cs="Arial"/>
          <w:szCs w:val="22"/>
        </w:rPr>
        <w:tab/>
      </w:r>
      <w:r w:rsidRPr="00D56493">
        <w:rPr>
          <w:rFonts w:cs="Arial"/>
          <w:b/>
          <w:szCs w:val="22"/>
        </w:rPr>
        <w:t>NaHCO</w:t>
      </w:r>
      <w:r w:rsidRPr="00D56493">
        <w:rPr>
          <w:rFonts w:cs="Arial"/>
          <w:b/>
          <w:szCs w:val="22"/>
          <w:vertAlign w:val="subscript"/>
        </w:rPr>
        <w:t>3</w:t>
      </w:r>
    </w:p>
    <w:p w:rsidR="000C0D91" w:rsidRPr="00D56493" w:rsidRDefault="000C0D91" w:rsidP="000C0D91">
      <w:pPr>
        <w:ind w:firstLine="567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Ilość maksymalna:</w:t>
      </w:r>
      <w:r w:rsidRPr="00D56493">
        <w:rPr>
          <w:rFonts w:cs="Arial"/>
          <w:szCs w:val="22"/>
        </w:rPr>
        <w:tab/>
      </w:r>
      <w:r w:rsidR="003D2FC6">
        <w:rPr>
          <w:rFonts w:cs="Arial"/>
          <w:b/>
          <w:szCs w:val="22"/>
        </w:rPr>
        <w:t>2</w:t>
      </w:r>
      <w:r w:rsidR="00A1615A">
        <w:rPr>
          <w:rFonts w:cs="Arial"/>
          <w:b/>
          <w:szCs w:val="22"/>
        </w:rPr>
        <w:t xml:space="preserve"> </w:t>
      </w:r>
      <w:r w:rsidR="003D2FC6">
        <w:rPr>
          <w:rFonts w:cs="Arial"/>
          <w:b/>
          <w:szCs w:val="22"/>
        </w:rPr>
        <w:t>75</w:t>
      </w:r>
      <w:r w:rsidR="00A1615A">
        <w:rPr>
          <w:rFonts w:cs="Arial"/>
          <w:b/>
          <w:szCs w:val="22"/>
        </w:rPr>
        <w:t>0</w:t>
      </w:r>
      <w:r w:rsidRPr="00D56493">
        <w:rPr>
          <w:rFonts w:cs="Arial"/>
          <w:b/>
          <w:szCs w:val="22"/>
        </w:rPr>
        <w:t xml:space="preserve"> Mg</w:t>
      </w:r>
    </w:p>
    <w:p w:rsidR="000C0D91" w:rsidRPr="00D56493" w:rsidRDefault="000C0D91" w:rsidP="000C0D91">
      <w:pPr>
        <w:spacing w:before="180" w:after="180"/>
        <w:ind w:left="992" w:hanging="425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a)</w:t>
      </w:r>
      <w:r w:rsidRPr="00D56493">
        <w:rPr>
          <w:rFonts w:cs="Arial"/>
          <w:szCs w:val="22"/>
        </w:rPr>
        <w:tab/>
        <w:t>właściwości fizykochemiczne produktu: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386"/>
      </w:tblGrid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Postać, kolor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ciało stałe, biały</w:t>
            </w:r>
          </w:p>
        </w:tc>
      </w:tr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 xml:space="preserve">Ciężar właściwy 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ok. 2,2 ÷ 2,3 kg/dm</w:t>
            </w:r>
            <w:r w:rsidRPr="00D56493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 xml:space="preserve">Gęstość usypowa/nasypowa 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ok. 0,7÷1,3 kg/dm</w:t>
            </w:r>
            <w:r w:rsidRPr="00D56493">
              <w:rPr>
                <w:rFonts w:cs="Arial"/>
                <w:szCs w:val="22"/>
                <w:vertAlign w:val="superscript"/>
              </w:rPr>
              <w:t>3</w:t>
            </w:r>
          </w:p>
        </w:tc>
      </w:tr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Zawartość wodorowęglanu sodu*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sym w:font="Symbol" w:char="F0B3"/>
            </w:r>
            <w:r w:rsidRPr="00D56493">
              <w:rPr>
                <w:rFonts w:cs="Arial"/>
                <w:szCs w:val="22"/>
              </w:rPr>
              <w:t>98%</w:t>
            </w:r>
          </w:p>
        </w:tc>
      </w:tr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pH*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886A80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≤8,6 (5g/100ml roztworu, 5% roztwór wodny w 20</w:t>
            </w:r>
            <w:r w:rsidRPr="00D56493">
              <w:rPr>
                <w:rFonts w:cs="Arial"/>
                <w:szCs w:val="22"/>
                <w:vertAlign w:val="superscript"/>
              </w:rPr>
              <w:t>o</w:t>
            </w:r>
            <w:r w:rsidRPr="00D56493">
              <w:rPr>
                <w:rFonts w:cs="Arial"/>
                <w:szCs w:val="22"/>
              </w:rPr>
              <w:t>C)</w:t>
            </w:r>
            <w:r w:rsidR="00886A80">
              <w:rPr>
                <w:rFonts w:cs="Arial"/>
                <w:szCs w:val="22"/>
              </w:rPr>
              <w:t xml:space="preserve"> lub </w:t>
            </w:r>
            <w:r w:rsidR="00886A80" w:rsidRPr="00D56493">
              <w:rPr>
                <w:rFonts w:cs="Arial"/>
                <w:szCs w:val="22"/>
              </w:rPr>
              <w:t>≤8,</w:t>
            </w:r>
            <w:r w:rsidR="00886A80">
              <w:rPr>
                <w:rFonts w:cs="Arial"/>
                <w:szCs w:val="22"/>
              </w:rPr>
              <w:t>4 (roztwór 1%)</w:t>
            </w:r>
          </w:p>
        </w:tc>
      </w:tr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Granulacja D</w:t>
            </w:r>
            <w:r w:rsidRPr="00D56493">
              <w:rPr>
                <w:rFonts w:cs="Arial"/>
                <w:szCs w:val="22"/>
                <w:vertAlign w:val="subscript"/>
              </w:rPr>
              <w:t>90</w:t>
            </w:r>
            <w:r w:rsidRPr="00D56493">
              <w:rPr>
                <w:rFonts w:cs="Arial"/>
                <w:szCs w:val="22"/>
              </w:rPr>
              <w:t>*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D56493">
              <w:rPr>
                <w:rFonts w:cs="Arial"/>
                <w:szCs w:val="22"/>
              </w:rPr>
              <w:t>≤500 μm</w:t>
            </w:r>
          </w:p>
        </w:tc>
      </w:tr>
      <w:tr w:rsidR="000C0D91" w:rsidRPr="00D56493" w:rsidTr="00A27116">
        <w:trPr>
          <w:jc w:val="center"/>
        </w:trPr>
        <w:tc>
          <w:tcPr>
            <w:tcW w:w="3564" w:type="dxa"/>
            <w:shd w:val="clear" w:color="auto" w:fill="auto"/>
          </w:tcPr>
          <w:p w:rsidR="000C0D91" w:rsidRPr="00D56493" w:rsidRDefault="000C0D91" w:rsidP="00DC1B87">
            <w:pPr>
              <w:spacing w:before="60"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Zawartość </w:t>
            </w:r>
            <w:r w:rsidR="00DC1B87">
              <w:rPr>
                <w:rFonts w:cs="Arial"/>
                <w:szCs w:val="22"/>
              </w:rPr>
              <w:t>metali ciężkich: suma As, Cd, Pb, Hg</w:t>
            </w:r>
          </w:p>
        </w:tc>
        <w:tc>
          <w:tcPr>
            <w:tcW w:w="5386" w:type="dxa"/>
            <w:shd w:val="clear" w:color="auto" w:fill="auto"/>
          </w:tcPr>
          <w:p w:rsidR="000C0D91" w:rsidRPr="00D56493" w:rsidRDefault="000C0D91" w:rsidP="00A27116">
            <w:pPr>
              <w:spacing w:before="60"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≤ 5 mg/kg</w:t>
            </w:r>
          </w:p>
        </w:tc>
      </w:tr>
    </w:tbl>
    <w:p w:rsidR="000C0D91" w:rsidRPr="00D56493" w:rsidRDefault="000C0D91" w:rsidP="000C0D91">
      <w:pPr>
        <w:spacing w:before="180" w:after="60"/>
        <w:ind w:left="992" w:hanging="425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*wybrane parametry mogą być kontrolowane przez Zamawiającego</w:t>
      </w:r>
    </w:p>
    <w:p w:rsidR="000C0D91" w:rsidRPr="00D56493" w:rsidRDefault="000C0D91" w:rsidP="000C0D91">
      <w:pPr>
        <w:spacing w:before="180" w:after="60"/>
        <w:ind w:left="992" w:hanging="425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b)</w:t>
      </w:r>
      <w:r w:rsidRPr="00D56493">
        <w:rPr>
          <w:rFonts w:cs="Arial"/>
          <w:szCs w:val="22"/>
        </w:rPr>
        <w:tab/>
        <w:t xml:space="preserve">wodorowęglan sodu musi posiadać kartę charakterystyki preparatu wystawioną </w:t>
      </w:r>
      <w:r w:rsidRPr="00D56493">
        <w:rPr>
          <w:rFonts w:cs="Arial"/>
          <w:szCs w:val="22"/>
        </w:rPr>
        <w:br/>
        <w:t xml:space="preserve">w języku polskim zgodną z Załącznikiem II Rozporządzenia Komisji (UE) </w:t>
      </w:r>
      <w:r>
        <w:rPr>
          <w:rFonts w:cs="Arial"/>
          <w:szCs w:val="22"/>
        </w:rPr>
        <w:br/>
      </w:r>
      <w:r w:rsidRPr="00D56493">
        <w:rPr>
          <w:rFonts w:cs="Arial"/>
          <w:szCs w:val="22"/>
        </w:rPr>
        <w:t xml:space="preserve">nr </w:t>
      </w:r>
      <w:r w:rsidR="004D36C4">
        <w:rPr>
          <w:rFonts w:cs="Arial"/>
          <w:szCs w:val="22"/>
        </w:rPr>
        <w:t>2015/830</w:t>
      </w:r>
      <w:r w:rsidRPr="00D56493">
        <w:rPr>
          <w:rFonts w:cs="Arial"/>
          <w:szCs w:val="22"/>
        </w:rPr>
        <w:t xml:space="preserve"> z dnia 2</w:t>
      </w:r>
      <w:r w:rsidR="004D36C4">
        <w:rPr>
          <w:rFonts w:cs="Arial"/>
          <w:szCs w:val="22"/>
        </w:rPr>
        <w:t>8</w:t>
      </w:r>
      <w:r w:rsidRPr="00D56493">
        <w:rPr>
          <w:rFonts w:cs="Arial"/>
          <w:szCs w:val="22"/>
        </w:rPr>
        <w:t xml:space="preserve"> maja 201</w:t>
      </w:r>
      <w:r w:rsidR="004D36C4">
        <w:rPr>
          <w:rFonts w:cs="Arial"/>
          <w:szCs w:val="22"/>
        </w:rPr>
        <w:t>5</w:t>
      </w:r>
      <w:r w:rsidRPr="00D56493">
        <w:rPr>
          <w:rFonts w:cs="Arial"/>
          <w:szCs w:val="22"/>
        </w:rPr>
        <w:t xml:space="preserve"> r. zmieniającego rozporządzenie (WE) </w:t>
      </w:r>
      <w:r>
        <w:rPr>
          <w:rFonts w:cs="Arial"/>
          <w:szCs w:val="22"/>
        </w:rPr>
        <w:br/>
      </w:r>
      <w:r w:rsidRPr="00D56493">
        <w:rPr>
          <w:rFonts w:cs="Arial"/>
          <w:szCs w:val="22"/>
        </w:rPr>
        <w:t xml:space="preserve">nr 1907/2006 Parlamentu Europejskiego i Rady w sprawie rejestracji, oceny, udzielania zezwoleń i stosowania ograniczeń w zakresie chemikaliów (REACH) - wymagane załączenie karty charakterystyki do pierwszej dostawy, w każdym przypadku zmiany w jej treści oraz drogą elektroniczną na adres e-mail: </w:t>
      </w:r>
      <w:r w:rsidRPr="001E3918">
        <w:rPr>
          <w:rFonts w:cs="Arial"/>
          <w:szCs w:val="22"/>
        </w:rPr>
        <w:t>kartycharakterystyki@mpwik.com.pl</w:t>
      </w:r>
      <w:r w:rsidRPr="00D56493">
        <w:rPr>
          <w:rFonts w:cs="Arial"/>
          <w:szCs w:val="22"/>
        </w:rPr>
        <w:t xml:space="preserve"> po podpisaniu umowy lecz nie później niż </w:t>
      </w:r>
      <w:r>
        <w:rPr>
          <w:rFonts w:cs="Arial"/>
          <w:szCs w:val="22"/>
        </w:rPr>
        <w:br/>
      </w:r>
      <w:r w:rsidRPr="00D56493">
        <w:rPr>
          <w:rFonts w:cs="Arial"/>
          <w:szCs w:val="22"/>
        </w:rPr>
        <w:t>w dniu pierwszej dostawy.</w:t>
      </w:r>
    </w:p>
    <w:p w:rsidR="000C0D91" w:rsidRPr="00D56493" w:rsidRDefault="000C0D91" w:rsidP="000C0D91">
      <w:pPr>
        <w:spacing w:before="60" w:after="60"/>
        <w:ind w:left="993" w:hanging="426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c)</w:t>
      </w:r>
      <w:r w:rsidRPr="00D56493">
        <w:rPr>
          <w:rFonts w:cs="Arial"/>
          <w:szCs w:val="22"/>
        </w:rPr>
        <w:tab/>
        <w:t xml:space="preserve">do każdej partii dostarczanego wodorowęglanu sodu Wykonawca musi dostarczyć świadectwo kontroli jakości wystawione przez producenta </w:t>
      </w:r>
      <w:r w:rsidRPr="00F5779D">
        <w:rPr>
          <w:rFonts w:cs="Arial"/>
          <w:szCs w:val="22"/>
        </w:rPr>
        <w:t>oraz protokół ważenia.</w:t>
      </w:r>
    </w:p>
    <w:p w:rsidR="000C0D91" w:rsidRDefault="000C0D91" w:rsidP="000C0D91">
      <w:pPr>
        <w:spacing w:before="60" w:after="60"/>
        <w:ind w:left="993" w:hanging="426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d)</w:t>
      </w:r>
      <w:r w:rsidRPr="00D56493">
        <w:rPr>
          <w:rFonts w:cs="Arial"/>
          <w:szCs w:val="22"/>
        </w:rPr>
        <w:tab/>
        <w:t>wodorowęglan sodu nie może być zanieczyszczony metalami ciężkimi. Zawartość metali ciężkich</w:t>
      </w:r>
      <w:r>
        <w:rPr>
          <w:rFonts w:cs="Arial"/>
          <w:szCs w:val="22"/>
        </w:rPr>
        <w:t xml:space="preserve"> </w:t>
      </w:r>
      <w:r w:rsidR="00DC1B87">
        <w:rPr>
          <w:rFonts w:cs="Arial"/>
          <w:szCs w:val="22"/>
        </w:rPr>
        <w:t>≤</w:t>
      </w:r>
      <w:r>
        <w:rPr>
          <w:rFonts w:cs="Arial"/>
          <w:szCs w:val="22"/>
        </w:rPr>
        <w:t xml:space="preserve"> 5</w:t>
      </w:r>
      <w:r w:rsidRPr="00D56493">
        <w:rPr>
          <w:rFonts w:cs="Arial"/>
          <w:szCs w:val="22"/>
        </w:rPr>
        <w:t xml:space="preserve"> mg/kg.</w:t>
      </w:r>
    </w:p>
    <w:p w:rsidR="00F66EF1" w:rsidRDefault="00F66EF1" w:rsidP="00F66EF1">
      <w:pPr>
        <w:spacing w:before="60" w:after="60"/>
        <w:ind w:left="993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D56493">
        <w:rPr>
          <w:rFonts w:cs="Arial"/>
          <w:szCs w:val="22"/>
        </w:rPr>
        <w:t>)</w:t>
      </w:r>
      <w:r w:rsidRPr="00D56493">
        <w:rPr>
          <w:rFonts w:cs="Arial"/>
          <w:szCs w:val="22"/>
        </w:rPr>
        <w:tab/>
        <w:t xml:space="preserve">wodorowęglan sodu nie może być </w:t>
      </w:r>
      <w:r>
        <w:rPr>
          <w:rFonts w:cs="Arial"/>
          <w:szCs w:val="22"/>
        </w:rPr>
        <w:t xml:space="preserve">powlekany </w:t>
      </w:r>
      <w:r w:rsidR="009F5120">
        <w:rPr>
          <w:rFonts w:cs="Arial"/>
          <w:szCs w:val="22"/>
        </w:rPr>
        <w:t xml:space="preserve">substancjami </w:t>
      </w:r>
      <w:proofErr w:type="spellStart"/>
      <w:r w:rsidR="007A2807">
        <w:rPr>
          <w:rFonts w:cs="Arial"/>
          <w:szCs w:val="22"/>
        </w:rPr>
        <w:t>antyzbrylającymi</w:t>
      </w:r>
      <w:proofErr w:type="spellEnd"/>
      <w:r w:rsidR="007A2807">
        <w:rPr>
          <w:rFonts w:cs="Arial"/>
          <w:szCs w:val="22"/>
        </w:rPr>
        <w:t xml:space="preserve"> </w:t>
      </w:r>
      <w:r w:rsidR="009F5120">
        <w:rPr>
          <w:rFonts w:cs="Arial"/>
          <w:szCs w:val="22"/>
        </w:rPr>
        <w:t xml:space="preserve">np. </w:t>
      </w:r>
      <w:r>
        <w:rPr>
          <w:rFonts w:cs="Arial"/>
          <w:szCs w:val="22"/>
        </w:rPr>
        <w:t>stearynianami</w:t>
      </w:r>
      <w:r w:rsidR="007A2807">
        <w:rPr>
          <w:rFonts w:cs="Arial"/>
          <w:szCs w:val="22"/>
        </w:rPr>
        <w:t>, ze względu na możliwość pogorszenia jakości niektórych parametrów spalin (np. TOC)</w:t>
      </w:r>
      <w:r w:rsidRPr="00D56493">
        <w:rPr>
          <w:rFonts w:cs="Arial"/>
          <w:szCs w:val="22"/>
        </w:rPr>
        <w:t>.</w:t>
      </w:r>
    </w:p>
    <w:p w:rsidR="000C0D91" w:rsidRPr="00D56493" w:rsidRDefault="000C0D91" w:rsidP="000C0D91">
      <w:pPr>
        <w:spacing w:before="180" w:after="180"/>
        <w:ind w:left="567" w:hanging="567"/>
        <w:jc w:val="both"/>
        <w:rPr>
          <w:rFonts w:cs="Arial"/>
          <w:b/>
          <w:bCs/>
          <w:szCs w:val="22"/>
        </w:rPr>
      </w:pPr>
      <w:r w:rsidRPr="00D56493">
        <w:rPr>
          <w:rFonts w:cs="Arial"/>
          <w:b/>
          <w:bCs/>
          <w:szCs w:val="22"/>
        </w:rPr>
        <w:t>2.</w:t>
      </w:r>
      <w:r w:rsidRPr="00D56493">
        <w:rPr>
          <w:rFonts w:cs="Arial"/>
          <w:b/>
          <w:bCs/>
          <w:szCs w:val="22"/>
        </w:rPr>
        <w:tab/>
        <w:t>Miejsce dostawy:</w:t>
      </w:r>
    </w:p>
    <w:p w:rsidR="000C0D91" w:rsidRDefault="000C0D91" w:rsidP="000C0D91">
      <w:pPr>
        <w:pStyle w:val="Tekstpodstawowy3"/>
        <w:spacing w:before="60" w:after="60"/>
        <w:ind w:left="567"/>
        <w:rPr>
          <w:rFonts w:ascii="Arial" w:hAnsi="Arial" w:cs="Arial"/>
          <w:sz w:val="22"/>
          <w:szCs w:val="22"/>
        </w:rPr>
      </w:pPr>
      <w:r w:rsidRPr="00D56493">
        <w:rPr>
          <w:rFonts w:ascii="Arial" w:hAnsi="Arial" w:cs="Arial"/>
          <w:sz w:val="22"/>
          <w:szCs w:val="22"/>
        </w:rPr>
        <w:t xml:space="preserve">Stacja Termicznej Utylizacji Osadów Ściekowych, teren Zakładu „CZAJKA” ZCZ, </w:t>
      </w:r>
      <w:r w:rsidRPr="00D56493">
        <w:rPr>
          <w:rFonts w:ascii="Arial" w:hAnsi="Arial" w:cs="Arial"/>
          <w:sz w:val="22"/>
          <w:szCs w:val="22"/>
        </w:rPr>
        <w:br/>
        <w:t>03-054 Warszawa, ul. Czajki 4/6, tel. 22 445 80 00.</w:t>
      </w:r>
    </w:p>
    <w:p w:rsidR="007A2807" w:rsidRDefault="007A2807" w:rsidP="000C0D91">
      <w:pPr>
        <w:pStyle w:val="Tekstpodstawowy3"/>
        <w:spacing w:before="60" w:after="60"/>
        <w:ind w:left="567"/>
        <w:rPr>
          <w:rFonts w:ascii="Arial" w:hAnsi="Arial" w:cs="Arial"/>
          <w:sz w:val="22"/>
          <w:szCs w:val="22"/>
        </w:rPr>
      </w:pPr>
    </w:p>
    <w:p w:rsidR="007A2807" w:rsidRDefault="007A2807" w:rsidP="000C0D91">
      <w:pPr>
        <w:pStyle w:val="Tekstpodstawowy3"/>
        <w:spacing w:before="60" w:after="60"/>
        <w:ind w:left="567"/>
        <w:rPr>
          <w:rFonts w:ascii="Arial" w:hAnsi="Arial" w:cs="Arial"/>
          <w:sz w:val="22"/>
          <w:szCs w:val="22"/>
        </w:rPr>
      </w:pPr>
    </w:p>
    <w:p w:rsidR="000C0D91" w:rsidRPr="00D56493" w:rsidRDefault="000C0D91" w:rsidP="000C0D91">
      <w:pPr>
        <w:numPr>
          <w:ilvl w:val="0"/>
          <w:numId w:val="3"/>
        </w:numPr>
        <w:tabs>
          <w:tab w:val="clear" w:pos="930"/>
          <w:tab w:val="num" w:pos="567"/>
        </w:tabs>
        <w:spacing w:before="180" w:after="180"/>
        <w:ind w:hanging="930"/>
        <w:jc w:val="both"/>
        <w:rPr>
          <w:rFonts w:cs="Arial"/>
          <w:b/>
          <w:szCs w:val="22"/>
        </w:rPr>
      </w:pPr>
      <w:r w:rsidRPr="00D56493">
        <w:rPr>
          <w:rFonts w:cs="Arial"/>
          <w:b/>
          <w:szCs w:val="22"/>
        </w:rPr>
        <w:t>Termin realizacji:</w:t>
      </w:r>
    </w:p>
    <w:p w:rsidR="000C0D91" w:rsidRDefault="000C0D91" w:rsidP="000C0D91">
      <w:pPr>
        <w:spacing w:before="180" w:after="180"/>
        <w:ind w:left="567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 xml:space="preserve">Termin realizacji umowy od </w:t>
      </w:r>
      <w:r w:rsidR="003D2FC6">
        <w:rPr>
          <w:rFonts w:cs="Arial"/>
          <w:szCs w:val="22"/>
        </w:rPr>
        <w:t>1</w:t>
      </w:r>
      <w:r w:rsidRPr="00D56493">
        <w:rPr>
          <w:rFonts w:cs="Arial"/>
          <w:szCs w:val="22"/>
        </w:rPr>
        <w:t xml:space="preserve"> </w:t>
      </w:r>
      <w:r w:rsidR="003D2FC6">
        <w:rPr>
          <w:rFonts w:cs="Arial"/>
          <w:szCs w:val="22"/>
        </w:rPr>
        <w:t>stycznia</w:t>
      </w:r>
      <w:r w:rsidRPr="00D56493">
        <w:rPr>
          <w:rFonts w:cs="Arial"/>
          <w:szCs w:val="22"/>
        </w:rPr>
        <w:t xml:space="preserve"> 20</w:t>
      </w:r>
      <w:r w:rsidR="00A1615A">
        <w:rPr>
          <w:rFonts w:cs="Arial"/>
          <w:szCs w:val="22"/>
        </w:rPr>
        <w:t>2</w:t>
      </w:r>
      <w:r w:rsidR="003D2FC6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D56493">
        <w:rPr>
          <w:rFonts w:cs="Arial"/>
          <w:szCs w:val="22"/>
        </w:rPr>
        <w:t>r.</w:t>
      </w:r>
      <w:r w:rsidR="003D2FC6">
        <w:rPr>
          <w:rFonts w:cs="Arial"/>
          <w:szCs w:val="22"/>
        </w:rPr>
        <w:t xml:space="preserve"> przez 12 miesięcy.</w:t>
      </w:r>
    </w:p>
    <w:p w:rsidR="000C0D91" w:rsidRPr="00D56493" w:rsidRDefault="000C0D91" w:rsidP="000C0D91">
      <w:pPr>
        <w:numPr>
          <w:ilvl w:val="0"/>
          <w:numId w:val="3"/>
        </w:numPr>
        <w:tabs>
          <w:tab w:val="clear" w:pos="930"/>
          <w:tab w:val="num" w:pos="567"/>
        </w:tabs>
        <w:spacing w:before="180" w:after="180"/>
        <w:ind w:hanging="930"/>
        <w:jc w:val="both"/>
        <w:rPr>
          <w:rFonts w:cs="Arial"/>
          <w:b/>
          <w:szCs w:val="22"/>
        </w:rPr>
      </w:pPr>
      <w:r w:rsidRPr="00D56493">
        <w:rPr>
          <w:rFonts w:cs="Arial"/>
          <w:b/>
          <w:szCs w:val="22"/>
        </w:rPr>
        <w:t>Realizacja dostaw:</w:t>
      </w:r>
    </w:p>
    <w:p w:rsidR="000C0D91" w:rsidRPr="00D56493" w:rsidRDefault="000C0D91" w:rsidP="000C0D91">
      <w:pPr>
        <w:numPr>
          <w:ilvl w:val="0"/>
          <w:numId w:val="1"/>
        </w:numPr>
        <w:spacing w:before="60" w:after="60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Dostawy częściowe będą realizowane na pisemne zamówienie osoby/osób odpowiedzialnych za realizację umowy na dostawę ww. reagenta.</w:t>
      </w:r>
    </w:p>
    <w:p w:rsidR="000C0D91" w:rsidRPr="00D56493" w:rsidRDefault="000C0D91" w:rsidP="000C0D91">
      <w:pPr>
        <w:numPr>
          <w:ilvl w:val="0"/>
          <w:numId w:val="1"/>
        </w:numPr>
        <w:spacing w:before="60" w:after="60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 xml:space="preserve">Dostawy częściowe będą realizowane w terminie do 3 dni roboczych od powiadomienia wysłanego </w:t>
      </w:r>
      <w:r>
        <w:rPr>
          <w:rFonts w:cs="Arial"/>
          <w:szCs w:val="22"/>
        </w:rPr>
        <w:t>drogą elektroniczną</w:t>
      </w:r>
      <w:r w:rsidR="00AE315F">
        <w:rPr>
          <w:rFonts w:cs="Arial"/>
          <w:szCs w:val="22"/>
        </w:rPr>
        <w:t xml:space="preserve"> do Wykonawcy w dniach od poniedziałku do soboty</w:t>
      </w:r>
      <w:r w:rsidR="00A170C2">
        <w:rPr>
          <w:rFonts w:cs="Arial"/>
          <w:szCs w:val="22"/>
        </w:rPr>
        <w:t>,</w:t>
      </w:r>
      <w:r w:rsidR="006D2B36">
        <w:rPr>
          <w:rFonts w:cs="Arial"/>
          <w:szCs w:val="22"/>
        </w:rPr>
        <w:t xml:space="preserve"> </w:t>
      </w:r>
      <w:r w:rsidR="00AE315F">
        <w:rPr>
          <w:rFonts w:cs="Arial"/>
          <w:szCs w:val="22"/>
        </w:rPr>
        <w:t xml:space="preserve">w godzinach </w:t>
      </w:r>
      <w:r w:rsidR="00A170C2">
        <w:rPr>
          <w:rFonts w:cs="Arial"/>
          <w:szCs w:val="22"/>
        </w:rPr>
        <w:t xml:space="preserve">co najmniej </w:t>
      </w:r>
      <w:r w:rsidR="00AE315F">
        <w:rPr>
          <w:rFonts w:cs="Arial"/>
          <w:szCs w:val="22"/>
        </w:rPr>
        <w:t>7.00-14.00.</w:t>
      </w:r>
    </w:p>
    <w:p w:rsidR="000C0D91" w:rsidRPr="00D56493" w:rsidRDefault="000C0D91" w:rsidP="000C0D91">
      <w:pPr>
        <w:numPr>
          <w:ilvl w:val="0"/>
          <w:numId w:val="1"/>
        </w:numPr>
        <w:spacing w:before="60" w:after="60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 xml:space="preserve">Częstotliwość dostaw przy normalnej pracy instalacji: ok. </w:t>
      </w:r>
      <w:r w:rsidR="003532AA">
        <w:rPr>
          <w:rFonts w:cs="Arial"/>
          <w:szCs w:val="22"/>
        </w:rPr>
        <w:t>8</w:t>
      </w:r>
      <w:r w:rsidR="003D2FC6">
        <w:rPr>
          <w:rFonts w:cs="Arial"/>
          <w:szCs w:val="22"/>
        </w:rPr>
        <w:t xml:space="preserve"> </w:t>
      </w:r>
      <w:r w:rsidR="003532AA">
        <w:rPr>
          <w:rFonts w:cs="Arial"/>
          <w:szCs w:val="22"/>
        </w:rPr>
        <w:t>-</w:t>
      </w:r>
      <w:r w:rsidR="003D2FC6">
        <w:rPr>
          <w:rFonts w:cs="Arial"/>
          <w:szCs w:val="22"/>
        </w:rPr>
        <w:t xml:space="preserve"> </w:t>
      </w:r>
      <w:r w:rsidR="00DC30F5">
        <w:rPr>
          <w:rFonts w:cs="Arial"/>
          <w:szCs w:val="22"/>
        </w:rPr>
        <w:t>10</w:t>
      </w:r>
      <w:r w:rsidRPr="00D56493">
        <w:rPr>
          <w:rFonts w:cs="Arial"/>
          <w:szCs w:val="22"/>
        </w:rPr>
        <w:t xml:space="preserve"> dostaw na miesiąc;</w:t>
      </w:r>
    </w:p>
    <w:p w:rsidR="000C0D91" w:rsidRPr="00D56493" w:rsidRDefault="000C0D91" w:rsidP="000C0D91">
      <w:pPr>
        <w:numPr>
          <w:ilvl w:val="0"/>
          <w:numId w:val="1"/>
        </w:numPr>
        <w:spacing w:before="60" w:after="60"/>
        <w:jc w:val="both"/>
        <w:rPr>
          <w:rFonts w:cs="Arial"/>
          <w:szCs w:val="22"/>
        </w:rPr>
      </w:pPr>
      <w:r w:rsidRPr="00D56493">
        <w:rPr>
          <w:rFonts w:cs="Arial"/>
          <w:szCs w:val="22"/>
        </w:rPr>
        <w:t>W przypadku zmiany częstotliwości dostaw Zamawiający powiadomi o tym Wykonawcę drogą elektroniczną.</w:t>
      </w:r>
    </w:p>
    <w:p w:rsidR="000C0D91" w:rsidRPr="00D56493" w:rsidRDefault="000C0D91" w:rsidP="000C0D91">
      <w:pPr>
        <w:spacing w:before="180" w:after="180"/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5</w:t>
      </w:r>
      <w:r w:rsidRPr="00D56493">
        <w:rPr>
          <w:rFonts w:cs="Arial"/>
          <w:b/>
          <w:szCs w:val="22"/>
        </w:rPr>
        <w:t>.</w:t>
      </w:r>
      <w:r w:rsidRPr="00D56493">
        <w:rPr>
          <w:rFonts w:cs="Arial"/>
          <w:b/>
          <w:szCs w:val="22"/>
        </w:rPr>
        <w:tab/>
        <w:t>Rodzaj transportu i rozładunek</w:t>
      </w:r>
    </w:p>
    <w:p w:rsidR="000C0D91" w:rsidRPr="00D56493" w:rsidRDefault="00DC30F5" w:rsidP="000C0D91">
      <w:pPr>
        <w:spacing w:before="60" w:after="60"/>
        <w:ind w:left="567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>Cysterny</w:t>
      </w:r>
      <w:r w:rsidR="000C0D91" w:rsidRPr="00D56493">
        <w:rPr>
          <w:rFonts w:cs="Arial"/>
          <w:szCs w:val="22"/>
        </w:rPr>
        <w:t xml:space="preserve"> do transportu </w:t>
      </w:r>
      <w:r>
        <w:rPr>
          <w:rFonts w:cs="Arial"/>
          <w:szCs w:val="22"/>
        </w:rPr>
        <w:t xml:space="preserve">reagenta (typ cementowóz, silos) </w:t>
      </w:r>
      <w:r w:rsidR="000C0D91" w:rsidRPr="00D56493">
        <w:rPr>
          <w:rFonts w:cs="Arial"/>
          <w:szCs w:val="22"/>
        </w:rPr>
        <w:t xml:space="preserve">muszą być wyposażone w system pneumatycznego rozładunku reagenta. Instalacja Zamawiającego nie jest wyposażona w system wytwarzania podciśnienia. </w:t>
      </w:r>
    </w:p>
    <w:p w:rsidR="000C0D91" w:rsidRPr="00D56493" w:rsidRDefault="000C0D91" w:rsidP="000C0D91">
      <w:pPr>
        <w:spacing w:before="60" w:after="60"/>
        <w:ind w:firstLine="567"/>
        <w:jc w:val="both"/>
        <w:rPr>
          <w:rFonts w:cs="Arial"/>
          <w:szCs w:val="22"/>
          <w:u w:val="single"/>
        </w:rPr>
      </w:pPr>
      <w:r w:rsidRPr="00D56493">
        <w:rPr>
          <w:rFonts w:cs="Arial"/>
          <w:szCs w:val="22"/>
          <w:u w:val="single"/>
        </w:rPr>
        <w:t>Rozładunek: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color w:val="000000"/>
          <w:szCs w:val="22"/>
        </w:rPr>
        <w:t>Rozładunek silosu poprzez rurę zasilającą o parametrach DN 100 PN 20;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color w:val="000000"/>
          <w:szCs w:val="22"/>
        </w:rPr>
        <w:t>Wysokość tłoczenia reagenta: 15,5 m od poziomu terenu;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szCs w:val="22"/>
        </w:rPr>
        <w:t>Parametry szybkozłącza zawarte są w zał. nr 1 do Opisu Przedmiotu Zamówienia.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color w:val="000000"/>
          <w:szCs w:val="22"/>
        </w:rPr>
        <w:t>Szybkozłącze umieszczone jest na wysokości ok. 1,5 m od poziomu terenu.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szCs w:val="22"/>
        </w:rPr>
        <w:t xml:space="preserve">Rozładunek do dwóch zbiorników magazynowych Zamawiającego wykonuje Wykonawca. Każdy zbiornik magazynowy ma pojemność </w:t>
      </w:r>
      <w:smartTag w:uri="urn:schemas-microsoft-com:office:smarttags" w:element="metricconverter">
        <w:smartTagPr>
          <w:attr w:name="ProductID" w:val="40 m3"/>
        </w:smartTagPr>
        <w:r w:rsidRPr="00D56493">
          <w:rPr>
            <w:rFonts w:cs="Arial"/>
            <w:szCs w:val="22"/>
          </w:rPr>
          <w:t>40 m</w:t>
        </w:r>
        <w:r w:rsidRPr="00D56493">
          <w:rPr>
            <w:rFonts w:cs="Arial"/>
            <w:szCs w:val="22"/>
            <w:vertAlign w:val="superscript"/>
          </w:rPr>
          <w:t>3</w:t>
        </w:r>
      </w:smartTag>
      <w:r w:rsidRPr="00D56493">
        <w:rPr>
          <w:rFonts w:cs="Arial"/>
          <w:szCs w:val="22"/>
        </w:rPr>
        <w:t>.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szCs w:val="22"/>
        </w:rPr>
        <w:t>Cysterna musi posiadać dodatkowe zabezpieczenia na połączeniach przewodów rozładunkowych zabezpieczające przed przypadkowym rozszczelnieniem. (dodatkowy pierścień uszczelniający połączenia szybkozłącza węży) bez powyższego zabezpieczenia cysterna nie będzie rozładowywana.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color w:val="000000"/>
          <w:szCs w:val="22"/>
        </w:rPr>
        <w:t>Cysterna musi być wyposażona w dodatkowe podkładki pod podpory stabilizujące samochód podczas rozładunku. Podkładki muszą zapobiegać odkształcaniu powierzchni asfaltowej.</w:t>
      </w:r>
    </w:p>
    <w:p w:rsidR="000C0D91" w:rsidRPr="00D56493" w:rsidRDefault="000C0D91" w:rsidP="000C0D91">
      <w:pPr>
        <w:numPr>
          <w:ilvl w:val="0"/>
          <w:numId w:val="2"/>
        </w:numPr>
        <w:tabs>
          <w:tab w:val="clear" w:pos="720"/>
          <w:tab w:val="num" w:pos="993"/>
        </w:tabs>
        <w:spacing w:before="60" w:after="60"/>
        <w:ind w:left="993" w:hanging="426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szCs w:val="22"/>
        </w:rPr>
        <w:t>Wykonawca zobowiązany jest do utrzymania ładu i porządku na terenie</w:t>
      </w:r>
      <w:r>
        <w:rPr>
          <w:rFonts w:cs="Arial"/>
          <w:szCs w:val="22"/>
        </w:rPr>
        <w:t>,</w:t>
      </w:r>
      <w:r w:rsidRPr="00D56493">
        <w:rPr>
          <w:rFonts w:cs="Arial"/>
          <w:szCs w:val="22"/>
        </w:rPr>
        <w:t xml:space="preserve"> na którym dokonywana jest dostawa. W przypadku wyrządzenia szkód przez Wykonawcę </w:t>
      </w:r>
      <w:r>
        <w:rPr>
          <w:rFonts w:cs="Arial"/>
          <w:szCs w:val="22"/>
        </w:rPr>
        <w:br/>
      </w:r>
      <w:r w:rsidRPr="00D56493">
        <w:rPr>
          <w:rFonts w:cs="Arial"/>
          <w:szCs w:val="22"/>
        </w:rPr>
        <w:t>w trakcie realizacji dostawy, Wykonawca musi przywrócić teren, na którym dokonywana jest dostawa, do stanu nie gorszego niż istniejący przed rozpoczęciem rozładunku oraz naprawić ewentualne szkody wyrządzone na terenie</w:t>
      </w:r>
      <w:r>
        <w:rPr>
          <w:rFonts w:cs="Arial"/>
          <w:szCs w:val="22"/>
        </w:rPr>
        <w:t>,</w:t>
      </w:r>
      <w:r w:rsidRPr="00D56493">
        <w:rPr>
          <w:rFonts w:cs="Arial"/>
          <w:szCs w:val="22"/>
        </w:rPr>
        <w:t xml:space="preserve"> na którym dokonywana jest dostawa.</w:t>
      </w:r>
    </w:p>
    <w:p w:rsidR="000C0D91" w:rsidRPr="00604D64" w:rsidRDefault="000C0D91" w:rsidP="00604D64">
      <w:pPr>
        <w:spacing w:before="60" w:after="60"/>
        <w:jc w:val="both"/>
        <w:rPr>
          <w:rFonts w:cs="Arial"/>
          <w:b/>
          <w:szCs w:val="22"/>
        </w:rPr>
      </w:pPr>
      <w:r w:rsidRPr="00D56493">
        <w:rPr>
          <w:rFonts w:cs="Arial"/>
          <w:b/>
          <w:szCs w:val="22"/>
        </w:rPr>
        <w:t>UWAGA:</w:t>
      </w:r>
      <w:r w:rsidR="00604D64">
        <w:rPr>
          <w:rFonts w:cs="Arial"/>
          <w:b/>
          <w:szCs w:val="22"/>
        </w:rPr>
        <w:t xml:space="preserve"> </w:t>
      </w:r>
      <w:r w:rsidRPr="00D56493">
        <w:rPr>
          <w:rFonts w:cs="Arial"/>
          <w:szCs w:val="22"/>
        </w:rPr>
        <w:t xml:space="preserve">Wykonawca, z którym zostanie podpisana umowa </w:t>
      </w:r>
      <w:r w:rsidR="003D2FC6">
        <w:rPr>
          <w:rFonts w:cs="Arial"/>
          <w:szCs w:val="22"/>
        </w:rPr>
        <w:t>powinien</w:t>
      </w:r>
      <w:r w:rsidRPr="00D56493">
        <w:rPr>
          <w:rFonts w:cs="Arial"/>
          <w:szCs w:val="22"/>
        </w:rPr>
        <w:t xml:space="preserve"> przed pierwszą dostawą dokonać wizji lokalnej (na terenie Stacji Termicznej Utylizacji Osadów Ściekowych), która będzie miała na celu zapoznanie się z warunkami stanowiska rozładunku reagenta na terenie STUOŚ oraz z obowiązującymi na jej terenie przepisami instrukcji bezpieczeństwa i przeciwpożarowymi. </w:t>
      </w:r>
    </w:p>
    <w:p w:rsidR="000C0D91" w:rsidRPr="00D56493" w:rsidRDefault="000C0D91" w:rsidP="00604D64">
      <w:pPr>
        <w:spacing w:before="60" w:after="60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color w:val="000000"/>
          <w:szCs w:val="22"/>
        </w:rPr>
        <w:t xml:space="preserve">Pomiędzy silosami magazynowymi wodorowęglanu sodu znajduje się silos na węgiel aktywny (w obrębie silosu panuje strefa ATEX). </w:t>
      </w:r>
    </w:p>
    <w:p w:rsidR="000C0D91" w:rsidRPr="00604D64" w:rsidRDefault="000C0D91" w:rsidP="00604D64">
      <w:pPr>
        <w:spacing w:before="60" w:after="60"/>
        <w:jc w:val="both"/>
        <w:rPr>
          <w:rFonts w:cs="Arial"/>
          <w:color w:val="000000"/>
          <w:szCs w:val="22"/>
        </w:rPr>
      </w:pPr>
      <w:r w:rsidRPr="00D56493">
        <w:rPr>
          <w:rFonts w:cs="Arial"/>
          <w:color w:val="000000"/>
          <w:szCs w:val="22"/>
        </w:rPr>
        <w:t>Strefa ATEX silosu na węgiel aktywny zachodzi na strefę załadunku silosów wodorowęglanu sodu. Wykonawca zobowiązany jest zastosować odpowiednie zabezpieczenia oraz zachować szczególną ostrożność podczas prac rozładunkowych. W związku z powyższym należy w w/w strefie używać urządzeń nieiskrzących.</w:t>
      </w:r>
    </w:p>
    <w:p w:rsidR="00604D64" w:rsidRDefault="00604D64" w:rsidP="000C0D91">
      <w:pPr>
        <w:spacing w:before="60" w:after="60"/>
        <w:jc w:val="both"/>
        <w:rPr>
          <w:rFonts w:cs="Arial"/>
          <w:color w:val="000000"/>
          <w:szCs w:val="22"/>
        </w:rPr>
      </w:pPr>
    </w:p>
    <w:p w:rsidR="00CD2307" w:rsidRDefault="000A7A76" w:rsidP="004559F2">
      <w:pPr>
        <w:spacing w:before="60" w:after="60"/>
        <w:ind w:left="705" w:hanging="70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Kalkulacja do opisu przedmiotu zamówienia:</w:t>
      </w:r>
    </w:p>
    <w:p w:rsidR="000A7A76" w:rsidRDefault="000A7A76" w:rsidP="004559F2">
      <w:pPr>
        <w:spacing w:before="60" w:after="60"/>
        <w:ind w:left="705" w:hanging="705"/>
        <w:jc w:val="both"/>
        <w:rPr>
          <w:rFonts w:cs="Arial"/>
          <w:color w:val="000000"/>
          <w:szCs w:val="22"/>
        </w:rPr>
      </w:pPr>
    </w:p>
    <w:p w:rsidR="000A7A76" w:rsidRDefault="000A7A76" w:rsidP="004559F2">
      <w:pPr>
        <w:spacing w:before="60" w:after="60"/>
        <w:ind w:left="705" w:hanging="70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Koszt zakupu sody w </w:t>
      </w:r>
      <w:r w:rsidR="003D2FC6">
        <w:rPr>
          <w:rFonts w:cs="Arial"/>
          <w:color w:val="000000"/>
          <w:szCs w:val="22"/>
        </w:rPr>
        <w:t xml:space="preserve">2023 </w:t>
      </w:r>
      <w:r>
        <w:rPr>
          <w:rFonts w:cs="Arial"/>
          <w:color w:val="000000"/>
          <w:szCs w:val="22"/>
        </w:rPr>
        <w:t>r:</w:t>
      </w:r>
    </w:p>
    <w:p w:rsidR="000A7A76" w:rsidRDefault="000A7A76" w:rsidP="00DB6D7B">
      <w:pPr>
        <w:spacing w:before="60" w:after="60"/>
        <w:jc w:val="both"/>
        <w:rPr>
          <w:rFonts w:cs="Arial"/>
          <w:color w:val="000000"/>
          <w:szCs w:val="22"/>
        </w:rPr>
      </w:pPr>
    </w:p>
    <w:p w:rsidR="000A7A76" w:rsidRDefault="000A7A76" w:rsidP="004559F2">
      <w:pPr>
        <w:spacing w:before="60" w:after="60"/>
        <w:ind w:left="705" w:hanging="70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Ilość maksymalna: </w:t>
      </w:r>
      <w:r w:rsidR="003D2FC6">
        <w:rPr>
          <w:rFonts w:cs="Arial"/>
          <w:color w:val="000000"/>
          <w:szCs w:val="22"/>
        </w:rPr>
        <w:t>2</w:t>
      </w:r>
      <w:r w:rsidR="00A1615A">
        <w:rPr>
          <w:rFonts w:cs="Arial"/>
          <w:color w:val="000000"/>
          <w:szCs w:val="22"/>
        </w:rPr>
        <w:t xml:space="preserve"> </w:t>
      </w:r>
      <w:r w:rsidR="003D2FC6">
        <w:rPr>
          <w:rFonts w:cs="Arial"/>
          <w:color w:val="000000"/>
          <w:szCs w:val="22"/>
        </w:rPr>
        <w:t>75</w:t>
      </w:r>
      <w:r w:rsidR="00A1615A">
        <w:rPr>
          <w:rFonts w:cs="Arial"/>
          <w:color w:val="000000"/>
          <w:szCs w:val="22"/>
        </w:rPr>
        <w:t>0</w:t>
      </w:r>
      <w:r>
        <w:rPr>
          <w:rFonts w:cs="Arial"/>
          <w:color w:val="000000"/>
          <w:szCs w:val="22"/>
        </w:rPr>
        <w:t xml:space="preserve"> Mg</w:t>
      </w:r>
      <w:r w:rsidR="00E731A6">
        <w:rPr>
          <w:rFonts w:cs="Arial"/>
          <w:color w:val="000000"/>
          <w:szCs w:val="22"/>
        </w:rPr>
        <w:t>.</w:t>
      </w:r>
    </w:p>
    <w:p w:rsidR="000A7A76" w:rsidRDefault="00DB6D7B" w:rsidP="004559F2">
      <w:pPr>
        <w:spacing w:before="60" w:after="60"/>
        <w:ind w:left="705" w:hanging="70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Kwota maksymalna:</w:t>
      </w:r>
      <w:r w:rsidR="000A7A76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6</w:t>
      </w:r>
      <w:r w:rsidR="003D2FC6">
        <w:rPr>
          <w:rFonts w:cs="Arial"/>
          <w:color w:val="000000"/>
          <w:szCs w:val="22"/>
        </w:rPr>
        <w:t> 18</w:t>
      </w:r>
      <w:r>
        <w:rPr>
          <w:rFonts w:cs="Arial"/>
          <w:color w:val="000000"/>
          <w:szCs w:val="22"/>
        </w:rPr>
        <w:t>7</w:t>
      </w:r>
      <w:r w:rsidR="003D2FC6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50</w:t>
      </w:r>
      <w:r w:rsidR="003D2FC6">
        <w:rPr>
          <w:rFonts w:cs="Arial"/>
          <w:color w:val="000000"/>
          <w:szCs w:val="22"/>
        </w:rPr>
        <w:t>0</w:t>
      </w:r>
      <w:r w:rsidR="000A7A76">
        <w:rPr>
          <w:rFonts w:cs="Arial"/>
          <w:color w:val="000000"/>
          <w:szCs w:val="22"/>
        </w:rPr>
        <w:t xml:space="preserve"> zł</w:t>
      </w:r>
      <w:bookmarkStart w:id="0" w:name="_GoBack"/>
      <w:bookmarkEnd w:id="0"/>
    </w:p>
    <w:p w:rsidR="00F32BC6" w:rsidRDefault="00F32BC6" w:rsidP="004559F2">
      <w:pPr>
        <w:spacing w:before="60" w:after="60"/>
        <w:ind w:left="705" w:hanging="705"/>
        <w:jc w:val="both"/>
        <w:rPr>
          <w:rFonts w:cs="Arial"/>
          <w:color w:val="000000"/>
          <w:szCs w:val="22"/>
        </w:rPr>
      </w:pPr>
    </w:p>
    <w:p w:rsidR="00B53D78" w:rsidRPr="00E148AE" w:rsidRDefault="00B53D78" w:rsidP="003605AF">
      <w:pPr>
        <w:spacing w:before="60" w:after="60"/>
        <w:jc w:val="both"/>
        <w:rPr>
          <w:rFonts w:cs="Arial"/>
          <w:szCs w:val="22"/>
        </w:rPr>
      </w:pPr>
    </w:p>
    <w:sectPr w:rsidR="00B53D78" w:rsidRPr="00E148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11" w:rsidRDefault="00023711" w:rsidP="00C83357">
      <w:r>
        <w:separator/>
      </w:r>
    </w:p>
  </w:endnote>
  <w:endnote w:type="continuationSeparator" w:id="0">
    <w:p w:rsidR="00023711" w:rsidRDefault="00023711" w:rsidP="00C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57" w:rsidRPr="00604D64" w:rsidRDefault="00C83357" w:rsidP="008E4DBF">
    <w:pPr>
      <w:tabs>
        <w:tab w:val="center" w:pos="4536"/>
        <w:tab w:val="right" w:pos="9072"/>
      </w:tabs>
      <w:ind w:right="360"/>
      <w:jc w:val="both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11" w:rsidRDefault="00023711" w:rsidP="00C83357">
      <w:r>
        <w:separator/>
      </w:r>
    </w:p>
  </w:footnote>
  <w:footnote w:type="continuationSeparator" w:id="0">
    <w:p w:rsidR="00023711" w:rsidRDefault="00023711" w:rsidP="00C8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6C9"/>
    <w:multiLevelType w:val="hybridMultilevel"/>
    <w:tmpl w:val="7FAEA008"/>
    <w:lvl w:ilvl="0" w:tplc="C4E41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D2B1D"/>
    <w:multiLevelType w:val="hybridMultilevel"/>
    <w:tmpl w:val="1AE66C9C"/>
    <w:lvl w:ilvl="0" w:tplc="8AC04E4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43438"/>
    <w:multiLevelType w:val="hybridMultilevel"/>
    <w:tmpl w:val="32880838"/>
    <w:lvl w:ilvl="0" w:tplc="D84678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EF52FE"/>
    <w:multiLevelType w:val="hybridMultilevel"/>
    <w:tmpl w:val="6576E0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2931B7"/>
    <w:multiLevelType w:val="hybridMultilevel"/>
    <w:tmpl w:val="F6E081A4"/>
    <w:lvl w:ilvl="0" w:tplc="C4E41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E3D43"/>
    <w:multiLevelType w:val="hybridMultilevel"/>
    <w:tmpl w:val="05E0E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33EA3"/>
    <w:multiLevelType w:val="hybridMultilevel"/>
    <w:tmpl w:val="7D4EB28C"/>
    <w:lvl w:ilvl="0" w:tplc="F1D28778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7FBA6643"/>
    <w:multiLevelType w:val="hybridMultilevel"/>
    <w:tmpl w:val="1EF60D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1"/>
    <w:rsid w:val="00023711"/>
    <w:rsid w:val="000310CF"/>
    <w:rsid w:val="000338B5"/>
    <w:rsid w:val="00061B8F"/>
    <w:rsid w:val="00066E82"/>
    <w:rsid w:val="00087803"/>
    <w:rsid w:val="000A1EFA"/>
    <w:rsid w:val="000A7A76"/>
    <w:rsid w:val="000B1321"/>
    <w:rsid w:val="000C0AF4"/>
    <w:rsid w:val="000C0D91"/>
    <w:rsid w:val="00180CD6"/>
    <w:rsid w:val="001C0481"/>
    <w:rsid w:val="00241AF0"/>
    <w:rsid w:val="002C2101"/>
    <w:rsid w:val="002F0216"/>
    <w:rsid w:val="002F03CD"/>
    <w:rsid w:val="003134D6"/>
    <w:rsid w:val="00335260"/>
    <w:rsid w:val="0035113A"/>
    <w:rsid w:val="003532AA"/>
    <w:rsid w:val="003539C0"/>
    <w:rsid w:val="003605AF"/>
    <w:rsid w:val="003B4648"/>
    <w:rsid w:val="003B70C1"/>
    <w:rsid w:val="003D2FC6"/>
    <w:rsid w:val="003E10D0"/>
    <w:rsid w:val="003E4780"/>
    <w:rsid w:val="004559F2"/>
    <w:rsid w:val="00486CD0"/>
    <w:rsid w:val="004D36C4"/>
    <w:rsid w:val="004E692E"/>
    <w:rsid w:val="004F69BD"/>
    <w:rsid w:val="00521244"/>
    <w:rsid w:val="00545137"/>
    <w:rsid w:val="0055459B"/>
    <w:rsid w:val="005624D1"/>
    <w:rsid w:val="005711E2"/>
    <w:rsid w:val="005C34B7"/>
    <w:rsid w:val="005C7B08"/>
    <w:rsid w:val="005E66D7"/>
    <w:rsid w:val="005F281E"/>
    <w:rsid w:val="00604D64"/>
    <w:rsid w:val="00640733"/>
    <w:rsid w:val="006409C0"/>
    <w:rsid w:val="006700E3"/>
    <w:rsid w:val="006D2B36"/>
    <w:rsid w:val="006E5A2C"/>
    <w:rsid w:val="00722C2E"/>
    <w:rsid w:val="00723B04"/>
    <w:rsid w:val="00761571"/>
    <w:rsid w:val="00763160"/>
    <w:rsid w:val="00767A3D"/>
    <w:rsid w:val="007861E7"/>
    <w:rsid w:val="007A2807"/>
    <w:rsid w:val="007A4B78"/>
    <w:rsid w:val="007A5C60"/>
    <w:rsid w:val="007D206B"/>
    <w:rsid w:val="007E7016"/>
    <w:rsid w:val="008343FC"/>
    <w:rsid w:val="0085162E"/>
    <w:rsid w:val="00870FC5"/>
    <w:rsid w:val="00877282"/>
    <w:rsid w:val="00886A80"/>
    <w:rsid w:val="008E4DBF"/>
    <w:rsid w:val="009003D6"/>
    <w:rsid w:val="00913806"/>
    <w:rsid w:val="00913CCB"/>
    <w:rsid w:val="009A5308"/>
    <w:rsid w:val="009F5120"/>
    <w:rsid w:val="00A1615A"/>
    <w:rsid w:val="00A170C2"/>
    <w:rsid w:val="00A4207E"/>
    <w:rsid w:val="00AB24A8"/>
    <w:rsid w:val="00AE315F"/>
    <w:rsid w:val="00B0485A"/>
    <w:rsid w:val="00B32E04"/>
    <w:rsid w:val="00B53D78"/>
    <w:rsid w:val="00B60F82"/>
    <w:rsid w:val="00BE4BEE"/>
    <w:rsid w:val="00C025D1"/>
    <w:rsid w:val="00C103F3"/>
    <w:rsid w:val="00C7509C"/>
    <w:rsid w:val="00C83357"/>
    <w:rsid w:val="00CD2307"/>
    <w:rsid w:val="00CF2B2F"/>
    <w:rsid w:val="00CF7580"/>
    <w:rsid w:val="00D21C22"/>
    <w:rsid w:val="00D77A91"/>
    <w:rsid w:val="00D92EB5"/>
    <w:rsid w:val="00D92FAA"/>
    <w:rsid w:val="00DA7F45"/>
    <w:rsid w:val="00DB4C80"/>
    <w:rsid w:val="00DB6D7B"/>
    <w:rsid w:val="00DC1B87"/>
    <w:rsid w:val="00DC30F5"/>
    <w:rsid w:val="00DF1938"/>
    <w:rsid w:val="00E0258E"/>
    <w:rsid w:val="00E13670"/>
    <w:rsid w:val="00E148AE"/>
    <w:rsid w:val="00E731A6"/>
    <w:rsid w:val="00F21B09"/>
    <w:rsid w:val="00F32BC6"/>
    <w:rsid w:val="00F36D8D"/>
    <w:rsid w:val="00F5779D"/>
    <w:rsid w:val="00F66EF1"/>
    <w:rsid w:val="00FB3B48"/>
    <w:rsid w:val="00FB41EE"/>
    <w:rsid w:val="00FC76EC"/>
    <w:rsid w:val="00FF1232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B927BF"/>
  <w15:docId w15:val="{53EEDD48-F724-499C-BF7A-4DDE90AC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D91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D9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0C0D91"/>
    <w:pPr>
      <w:widowControl w:val="0"/>
      <w:ind w:right="-1"/>
      <w:jc w:val="both"/>
    </w:pPr>
    <w:rPr>
      <w:rFonts w:ascii="Times New Roman" w:hAnsi="Times New Roman"/>
      <w:kern w:val="2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C0D91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3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357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3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357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1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2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2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28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2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Gostyńska Anna</dc:creator>
  <cp:lastModifiedBy>Krawczyk Magdalena</cp:lastModifiedBy>
  <cp:revision>5</cp:revision>
  <cp:lastPrinted>2018-07-25T07:00:00Z</cp:lastPrinted>
  <dcterms:created xsi:type="dcterms:W3CDTF">2022-06-03T06:31:00Z</dcterms:created>
  <dcterms:modified xsi:type="dcterms:W3CDTF">2022-06-06T05:21:00Z</dcterms:modified>
</cp:coreProperties>
</file>